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Calibri" w:hAnsi="Calibri"/>
          <w:b/>
          <w:color w:val="2E74B5"/>
          <w:sz w:val="24"/>
        </w:rPr>
        <w:t>S05-AD-029</w:t>
      </w:r>
    </w:p>
    <w:p>
      <w:pPr>
        <w:keepNext/>
        <w:spacing w:before="0" w:after="100"/>
      </w:pPr>
      <w:r>
        <w:rPr>
          <w:rFonts w:ascii="Calibri" w:hAnsi="Calibri"/>
          <w:b/>
          <w:color w:val="1F4D78"/>
          <w:sz w:val="44"/>
        </w:rPr>
        <w:t>Centralized Node Intelligence Module</w:t>
        <w:br/>
        <w:t>and Passive Sensing Manifold</w:t>
      </w:r>
    </w:p>
    <w:p>
      <w:pPr>
        <w:spacing w:before="0" w:after="280"/>
      </w:pPr>
      <w:r>
        <w:rPr>
          <w:rFonts w:ascii="Calibri" w:hAnsi="Calibri"/>
          <w:i/>
          <w:color w:val="5F6B76"/>
          <w:sz w:val="22"/>
        </w:rPr>
        <w:t>Approved Architecture Decision — Version 0.1</w:t>
      </w:r>
    </w:p>
    <w:tbl>
      <w:tblPr>
        <w:tblW w:type="dxa" w:w="9360"/>
        <w:jc w:val="left"/>
        <w:tblLayout w:type="fixed"/>
        <w:tblLook w:firstColumn="1" w:firstRow="1" w:lastColumn="0" w:lastRow="0" w:noHBand="0" w:noVBand="1" w:val="04A0"/>
        <w:tblInd w:w="120" w:type="dxa"/>
      </w:tblPr>
      <w:tblGrid>
        <w:gridCol w:w="2200"/>
        <w:gridCol w:w="7160"/>
      </w:tblGrid>
      <w:tr>
        <w:tc>
          <w:tcPr>
            <w:tcW w:type="dxa" w:w="2200"/>
            <w:tcMar>
              <w:top w:w="80" w:type="dxa"/>
              <w:start w:w="120" w:type="dxa"/>
              <w:bottom w:w="80" w:type="dxa"/>
              <w:end w:w="120" w:type="dxa"/>
            </w:tcMar>
            <w:vAlign w:val="center"/>
            <w:shd w:fill="F2F4F7"/>
          </w:tcPr>
          <w:p>
            <w:pPr>
              <w:spacing w:after="0"/>
            </w:pPr>
            <w:r>
              <w:rPr>
                <w:b/>
                <w:sz w:val="19"/>
              </w:rPr>
              <w:t>Status</w:t>
            </w:r>
          </w:p>
        </w:tc>
        <w:tc>
          <w:tcPr>
            <w:tcW w:type="dxa" w:w="7160"/>
            <w:tcMar>
              <w:top w:w="80" w:type="dxa"/>
              <w:start w:w="120" w:type="dxa"/>
              <w:bottom w:w="80" w:type="dxa"/>
              <w:end w:w="120" w:type="dxa"/>
            </w:tcMar>
            <w:vAlign w:val="center"/>
          </w:tcPr>
          <w:p>
            <w:pPr>
              <w:spacing w:after="0"/>
            </w:pPr>
            <w:r>
              <w:rPr>
                <w:b/>
                <w:color w:val="1F4D78"/>
                <w:sz w:val="19"/>
              </w:rPr>
              <w:t>APPROVED</w:t>
            </w:r>
          </w:p>
        </w:tc>
      </w:tr>
      <w:tr>
        <w:tc>
          <w:tcPr>
            <w:tcW w:type="dxa" w:w="2200"/>
            <w:tcMar>
              <w:top w:w="80" w:type="dxa"/>
              <w:start w:w="120" w:type="dxa"/>
              <w:bottom w:w="80" w:type="dxa"/>
              <w:end w:w="120" w:type="dxa"/>
            </w:tcMar>
            <w:vAlign w:val="center"/>
            <w:shd w:fill="F2F4F7"/>
          </w:tcPr>
          <w:p>
            <w:pPr>
              <w:spacing w:after="0"/>
            </w:pPr>
            <w:r>
              <w:rPr>
                <w:b/>
                <w:sz w:val="19"/>
              </w:rPr>
              <w:t>Decision date</w:t>
            </w:r>
          </w:p>
        </w:tc>
        <w:tc>
          <w:tcPr>
            <w:tcW w:type="dxa" w:w="7160"/>
            <w:tcMar>
              <w:top w:w="80" w:type="dxa"/>
              <w:start w:w="120" w:type="dxa"/>
              <w:bottom w:w="80" w:type="dxa"/>
              <w:end w:w="120" w:type="dxa"/>
            </w:tcMar>
            <w:vAlign w:val="center"/>
          </w:tcPr>
          <w:p>
            <w:pPr>
              <w:spacing w:after="0"/>
            </w:pPr>
            <w:r>
              <w:rPr>
                <w:sz w:val="19"/>
              </w:rPr>
              <w:t>20 July 2026</w:t>
            </w:r>
          </w:p>
        </w:tc>
      </w:tr>
      <w:tr>
        <w:tc>
          <w:tcPr>
            <w:tcW w:type="dxa" w:w="2200"/>
            <w:tcMar>
              <w:top w:w="80" w:type="dxa"/>
              <w:start w:w="120" w:type="dxa"/>
              <w:bottom w:w="80" w:type="dxa"/>
              <w:end w:w="120" w:type="dxa"/>
            </w:tcMar>
            <w:vAlign w:val="center"/>
            <w:shd w:fill="F2F4F7"/>
          </w:tcPr>
          <w:p>
            <w:pPr>
              <w:spacing w:after="0"/>
            </w:pPr>
            <w:r>
              <w:rPr>
                <w:b/>
                <w:sz w:val="19"/>
              </w:rPr>
              <w:t>Scope</w:t>
            </w:r>
          </w:p>
        </w:tc>
        <w:tc>
          <w:tcPr>
            <w:tcW w:type="dxa" w:w="7160"/>
            <w:tcMar>
              <w:top w:w="80" w:type="dxa"/>
              <w:start w:w="120" w:type="dxa"/>
              <w:bottom w:w="80" w:type="dxa"/>
              <w:end w:w="120" w:type="dxa"/>
            </w:tcMar>
            <w:vAlign w:val="center"/>
          </w:tcPr>
          <w:p>
            <w:pPr>
              <w:spacing w:after="0"/>
            </w:pPr>
            <w:r>
              <w:rPr>
                <w:sz w:val="19"/>
              </w:rPr>
              <w:t>System05 node, cartridge, module and sensor architecture</w:t>
            </w:r>
          </w:p>
        </w:tc>
      </w:tr>
      <w:tr>
        <w:tc>
          <w:tcPr>
            <w:tcW w:type="dxa" w:w="2200"/>
            <w:tcMar>
              <w:top w:w="80" w:type="dxa"/>
              <w:start w:w="120" w:type="dxa"/>
              <w:bottom w:w="80" w:type="dxa"/>
              <w:end w:w="120" w:type="dxa"/>
            </w:tcMar>
            <w:vAlign w:val="center"/>
            <w:shd w:fill="F2F4F7"/>
          </w:tcPr>
          <w:p>
            <w:pPr>
              <w:spacing w:after="0"/>
            </w:pPr>
            <w:r>
              <w:rPr>
                <w:b/>
                <w:sz w:val="19"/>
              </w:rPr>
              <w:t>Related baselines</w:t>
            </w:r>
          </w:p>
        </w:tc>
        <w:tc>
          <w:tcPr>
            <w:tcW w:type="dxa" w:w="7160"/>
            <w:tcMar>
              <w:top w:w="80" w:type="dxa"/>
              <w:start w:w="120" w:type="dxa"/>
              <w:bottom w:w="80" w:type="dxa"/>
              <w:end w:w="120" w:type="dxa"/>
            </w:tcMar>
            <w:vAlign w:val="center"/>
          </w:tcPr>
          <w:p>
            <w:pPr>
              <w:spacing w:after="0"/>
            </w:pPr>
            <w:r>
              <w:rPr>
                <w:sz w:val="19"/>
              </w:rPr>
              <w:t>S05-CON-001; S05-CON-002; S05-AD-028</w:t>
            </w:r>
          </w:p>
        </w:tc>
      </w:tr>
      <w:tr>
        <w:tc>
          <w:tcPr>
            <w:tcW w:type="dxa" w:w="2200"/>
            <w:tcMar>
              <w:top w:w="80" w:type="dxa"/>
              <w:start w:w="120" w:type="dxa"/>
              <w:bottom w:w="80" w:type="dxa"/>
              <w:end w:w="120" w:type="dxa"/>
            </w:tcMar>
            <w:vAlign w:val="center"/>
            <w:shd w:fill="F2F4F7"/>
          </w:tcPr>
          <w:p>
            <w:pPr>
              <w:spacing w:after="0"/>
            </w:pPr>
            <w:r>
              <w:rPr>
                <w:b/>
                <w:sz w:val="19"/>
              </w:rPr>
              <w:t>Supersedes</w:t>
            </w:r>
          </w:p>
        </w:tc>
        <w:tc>
          <w:tcPr>
            <w:tcW w:type="dxa" w:w="7160"/>
            <w:tcMar>
              <w:top w:w="80" w:type="dxa"/>
              <w:start w:w="120" w:type="dxa"/>
              <w:bottom w:w="80" w:type="dxa"/>
              <w:end w:w="120" w:type="dxa"/>
            </w:tcMar>
            <w:vAlign w:val="center"/>
          </w:tcPr>
          <w:p>
            <w:pPr>
              <w:spacing w:after="0"/>
            </w:pPr>
            <w:r>
              <w:rPr>
                <w:sz w:val="19"/>
              </w:rPr>
              <w:t>None</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AF2F8"/>
          </w:tcPr>
          <w:p>
            <w:pPr>
              <w:spacing w:after="80"/>
            </w:pPr>
            <w:r>
              <w:rPr>
                <w:b/>
                <w:color w:val="2E74B5"/>
                <w:sz w:val="18"/>
              </w:rPr>
              <w:t>DECISION</w:t>
            </w:r>
          </w:p>
          <w:p>
            <w:pPr>
              <w:spacing w:after="0"/>
            </w:pPr>
            <w:r>
              <w:rPr>
                <w:b/>
                <w:sz w:val="22"/>
              </w:rPr>
              <w:t>System05 nodes shall be designed as passive sensing manifolds that route measurable physical states from ports, locks, interfaces and critical regions to a centralized, slide-in and replaceable Node Intelligence Module. Active electronics, processing, storage, wireless communication and battery management shall be concentrated in that serviceable module wherever technically feasible.</w:t>
            </w:r>
          </w:p>
        </w:tc>
      </w:tr>
    </w:tbl>
    <w:p>
      <w:pPr>
        <w:pStyle w:val="Heading1"/>
      </w:pPr>
      <w:r>
        <w:t>1. Purpose</w:t>
      </w:r>
    </w:p>
    <w:p>
      <w:r>
        <w:t>This decision establishes a foundational System05 principle for the coordinated design of nodes, intelligence modules and sensing systems. The objective is to maximize observable information while minimizing distributed electronics, embedded maintenance burden and dependence on non-replaceable technology.</w:t>
      </w:r>
    </w:p>
    <w:p>
      <w:pPr>
        <w:pStyle w:val="Heading1"/>
      </w:pPr>
      <w:r>
        <w:t>2. Architectural Model</w:t>
      </w:r>
    </w:p>
    <w:p>
      <w:r>
        <w:t>The node is both a structural interface and an information-conducting structure. Physical conditions are collected at their relevant locations and carried toward a central intelligence bay through passive electrical, mechanical, optical or thermal paths. A rectangular slide-in module mates with the Node Sensing Backplane and converts those incoming physical states into validated digital observations.</w:t>
      </w:r>
    </w:p>
    <w:tbl>
      <w:tblPr>
        <w:tblW w:type="dxa" w:w="9360"/>
        <w:tblLayout w:type="fixed"/>
        <w:tblLook w:firstColumn="1" w:firstRow="1" w:lastColumn="0" w:lastRow="0" w:noHBand="0" w:noVBand="1" w:val="04A0"/>
        <w:jc w:val="left"/>
        <w:tblInd w:w="120" w:type="dxa"/>
      </w:tblPr>
      <w:tblGrid>
        <w:gridCol w:w="1800"/>
        <w:gridCol w:w="3180"/>
        <w:gridCol w:w="4380"/>
      </w:tblGrid>
      <w:tr>
        <w:trPr>
          <w:tblHeader w:val="true"/>
        </w:trPr>
        <w:tc>
          <w:tcPr>
            <w:tcW w:type="dxa" w:w="1800"/>
            <w:tcMar>
              <w:top w:w="80" w:type="dxa"/>
              <w:start w:w="120" w:type="dxa"/>
              <w:bottom w:w="80" w:type="dxa"/>
              <w:end w:w="120" w:type="dxa"/>
            </w:tcMar>
            <w:vAlign w:val="center"/>
            <w:shd w:fill="F2F4F7"/>
          </w:tcPr>
          <w:p>
            <w:pPr>
              <w:spacing w:after="0"/>
            </w:pPr>
            <w:r>
              <w:rPr>
                <w:b/>
                <w:sz w:val="19"/>
              </w:rPr>
              <w:t>Signal domain</w:t>
            </w:r>
          </w:p>
        </w:tc>
        <w:tc>
          <w:tcPr>
            <w:tcW w:type="dxa" w:w="3180"/>
            <w:tcMar>
              <w:top w:w="80" w:type="dxa"/>
              <w:start w:w="120" w:type="dxa"/>
              <w:bottom w:w="80" w:type="dxa"/>
              <w:end w:w="120" w:type="dxa"/>
            </w:tcMar>
            <w:vAlign w:val="center"/>
            <w:shd w:fill="F2F4F7"/>
          </w:tcPr>
          <w:p>
            <w:pPr>
              <w:spacing w:after="0"/>
            </w:pPr>
            <w:r>
              <w:rPr>
                <w:b/>
                <w:sz w:val="19"/>
              </w:rPr>
              <w:t>Passive path in the node</w:t>
            </w:r>
          </w:p>
        </w:tc>
        <w:tc>
          <w:tcPr>
            <w:tcW w:type="dxa" w:w="4380"/>
            <w:tcMar>
              <w:top w:w="80" w:type="dxa"/>
              <w:start w:w="120" w:type="dxa"/>
              <w:bottom w:w="80" w:type="dxa"/>
              <w:end w:w="120" w:type="dxa"/>
            </w:tcMar>
            <w:vAlign w:val="center"/>
            <w:shd w:fill="F2F4F7"/>
          </w:tcPr>
          <w:p>
            <w:pPr>
              <w:spacing w:after="0"/>
            </w:pPr>
            <w:r>
              <w:rPr>
                <w:b/>
                <w:sz w:val="19"/>
              </w:rPr>
              <w:t>Representative observable states</w:t>
            </w:r>
          </w:p>
        </w:tc>
      </w:tr>
      <w:tr>
        <w:tc>
          <w:tcPr>
            <w:tcW w:type="dxa" w:w="1800"/>
            <w:tcMar>
              <w:top w:w="80" w:type="dxa"/>
              <w:start w:w="120" w:type="dxa"/>
              <w:bottom w:w="80" w:type="dxa"/>
              <w:end w:w="120" w:type="dxa"/>
            </w:tcMar>
            <w:vAlign w:val="center"/>
          </w:tcPr>
          <w:p>
            <w:pPr>
              <w:spacing w:after="0"/>
            </w:pPr>
            <w:r>
              <w:rPr>
                <w:sz w:val="18"/>
              </w:rPr>
              <w:t>Electrical</w:t>
            </w:r>
          </w:p>
        </w:tc>
        <w:tc>
          <w:tcPr>
            <w:tcW w:type="dxa" w:w="3180"/>
            <w:tcMar>
              <w:top w:w="80" w:type="dxa"/>
              <w:start w:w="120" w:type="dxa"/>
              <w:bottom w:w="80" w:type="dxa"/>
              <w:end w:w="120" w:type="dxa"/>
            </w:tcMar>
            <w:vAlign w:val="center"/>
          </w:tcPr>
          <w:p>
            <w:pPr>
              <w:spacing w:after="0"/>
            </w:pPr>
            <w:r>
              <w:rPr>
                <w:sz w:val="18"/>
              </w:rPr>
              <w:t>Continuity loops, electrodes, resistive signatures and conductive traces</w:t>
            </w:r>
          </w:p>
        </w:tc>
        <w:tc>
          <w:tcPr>
            <w:tcW w:type="dxa" w:w="4380"/>
            <w:tcMar>
              <w:top w:w="80" w:type="dxa"/>
              <w:start w:w="120" w:type="dxa"/>
              <w:bottom w:w="80" w:type="dxa"/>
              <w:end w:w="120" w:type="dxa"/>
            </w:tcMar>
            <w:vAlign w:val="center"/>
          </w:tcPr>
          <w:p>
            <w:pPr>
              <w:spacing w:after="0"/>
            </w:pPr>
            <w:r>
              <w:rPr>
                <w:sz w:val="18"/>
              </w:rPr>
              <w:t>Cartridge presence, lock confirmation, moisture, corrosion and circuit integrity</w:t>
            </w:r>
          </w:p>
        </w:tc>
      </w:tr>
      <w:tr>
        <w:tc>
          <w:tcPr>
            <w:tcW w:type="dxa" w:w="1800"/>
            <w:tcMar>
              <w:top w:w="80" w:type="dxa"/>
              <w:start w:w="120" w:type="dxa"/>
              <w:bottom w:w="80" w:type="dxa"/>
              <w:end w:w="120" w:type="dxa"/>
            </w:tcMar>
            <w:vAlign w:val="center"/>
          </w:tcPr>
          <w:p>
            <w:pPr>
              <w:spacing w:after="0"/>
            </w:pPr>
            <w:r>
              <w:rPr>
                <w:sz w:val="18"/>
              </w:rPr>
              <w:t>Mechanical</w:t>
            </w:r>
          </w:p>
        </w:tc>
        <w:tc>
          <w:tcPr>
            <w:tcW w:type="dxa" w:w="3180"/>
            <w:tcMar>
              <w:top w:w="80" w:type="dxa"/>
              <w:start w:w="120" w:type="dxa"/>
              <w:bottom w:w="80" w:type="dxa"/>
              <w:end w:w="120" w:type="dxa"/>
            </w:tcMar>
            <w:vAlign w:val="center"/>
          </w:tcPr>
          <w:p>
            <w:pPr>
              <w:spacing w:after="0"/>
            </w:pPr>
            <w:r>
              <w:rPr>
                <w:sz w:val="18"/>
              </w:rPr>
              <w:t>Witness pins, calibrated flexures, rods and displacement transfer features</w:t>
            </w:r>
          </w:p>
        </w:tc>
        <w:tc>
          <w:tcPr>
            <w:tcW w:type="dxa" w:w="4380"/>
            <w:tcMar>
              <w:top w:w="80" w:type="dxa"/>
              <w:start w:w="120" w:type="dxa"/>
              <w:bottom w:w="80" w:type="dxa"/>
              <w:end w:w="120" w:type="dxa"/>
            </w:tcMar>
            <w:vAlign w:val="center"/>
          </w:tcPr>
          <w:p>
            <w:pPr>
              <w:spacing w:after="0"/>
            </w:pPr>
            <w:r>
              <w:rPr>
                <w:sz w:val="18"/>
              </w:rPr>
              <w:t>Lock travel, preload, slip, separation and local deformation</w:t>
            </w:r>
          </w:p>
        </w:tc>
      </w:tr>
      <w:tr>
        <w:tc>
          <w:tcPr>
            <w:tcW w:type="dxa" w:w="1800"/>
            <w:tcMar>
              <w:top w:w="80" w:type="dxa"/>
              <w:start w:w="120" w:type="dxa"/>
              <w:bottom w:w="80" w:type="dxa"/>
              <w:end w:w="120" w:type="dxa"/>
            </w:tcMar>
            <w:vAlign w:val="center"/>
          </w:tcPr>
          <w:p>
            <w:pPr>
              <w:spacing w:after="0"/>
            </w:pPr>
            <w:r>
              <w:rPr>
                <w:sz w:val="18"/>
              </w:rPr>
              <w:t>Optical</w:t>
            </w:r>
          </w:p>
        </w:tc>
        <w:tc>
          <w:tcPr>
            <w:tcW w:type="dxa" w:w="3180"/>
            <w:tcMar>
              <w:top w:w="80" w:type="dxa"/>
              <w:start w:w="120" w:type="dxa"/>
              <w:bottom w:w="80" w:type="dxa"/>
              <w:end w:w="120" w:type="dxa"/>
            </w:tcMar>
            <w:vAlign w:val="center"/>
          </w:tcPr>
          <w:p>
            <w:pPr>
              <w:spacing w:after="0"/>
            </w:pPr>
            <w:r>
              <w:rPr>
                <w:sz w:val="18"/>
              </w:rPr>
              <w:t>Light guides, optical flags and passive fibres</w:t>
            </w:r>
          </w:p>
        </w:tc>
        <w:tc>
          <w:tcPr>
            <w:tcW w:type="dxa" w:w="4380"/>
            <w:tcMar>
              <w:top w:w="80" w:type="dxa"/>
              <w:start w:w="120" w:type="dxa"/>
              <w:bottom w:w="80" w:type="dxa"/>
              <w:end w:w="120" w:type="dxa"/>
            </w:tcMar>
            <w:vAlign w:val="center"/>
          </w:tcPr>
          <w:p>
            <w:pPr>
              <w:spacing w:after="0"/>
            </w:pPr>
            <w:r>
              <w:rPr>
                <w:sz w:val="18"/>
              </w:rPr>
              <w:t>Position, crack indication, movement and future non-electrical sensing</w:t>
            </w:r>
          </w:p>
        </w:tc>
      </w:tr>
      <w:tr>
        <w:tc>
          <w:tcPr>
            <w:tcW w:type="dxa" w:w="1800"/>
            <w:tcMar>
              <w:top w:w="80" w:type="dxa"/>
              <w:start w:w="120" w:type="dxa"/>
              <w:bottom w:w="80" w:type="dxa"/>
              <w:end w:w="120" w:type="dxa"/>
            </w:tcMar>
            <w:vAlign w:val="center"/>
          </w:tcPr>
          <w:p>
            <w:pPr>
              <w:spacing w:after="0"/>
            </w:pPr>
            <w:r>
              <w:rPr>
                <w:sz w:val="18"/>
              </w:rPr>
              <w:t>Thermal</w:t>
            </w:r>
          </w:p>
        </w:tc>
        <w:tc>
          <w:tcPr>
            <w:tcW w:type="dxa" w:w="3180"/>
            <w:tcMar>
              <w:top w:w="80" w:type="dxa"/>
              <w:start w:w="120" w:type="dxa"/>
              <w:bottom w:w="80" w:type="dxa"/>
              <w:end w:w="120" w:type="dxa"/>
            </w:tcMar>
            <w:vAlign w:val="center"/>
          </w:tcPr>
          <w:p>
            <w:pPr>
              <w:spacing w:after="0"/>
            </w:pPr>
            <w:r>
              <w:rPr>
                <w:sz w:val="18"/>
              </w:rPr>
              <w:t>Defined thermal paths or passive temperature elements</w:t>
            </w:r>
          </w:p>
        </w:tc>
        <w:tc>
          <w:tcPr>
            <w:tcW w:type="dxa" w:w="4380"/>
            <w:tcMar>
              <w:top w:w="80" w:type="dxa"/>
              <w:start w:w="120" w:type="dxa"/>
              <w:bottom w:w="80" w:type="dxa"/>
              <w:end w:w="120" w:type="dxa"/>
            </w:tcMar>
            <w:vAlign w:val="center"/>
          </w:tcPr>
          <w:p>
            <w:pPr>
              <w:spacing w:after="0"/>
            </w:pPr>
            <w:r>
              <w:rPr>
                <w:sz w:val="18"/>
              </w:rPr>
              <w:t>Temperature at selected interfaces where acceptable accuracy can be demonstrated</w:t>
            </w:r>
          </w:p>
        </w:tc>
      </w:tr>
    </w:tbl>
    <w:p>
      <w:pPr>
        <w:pStyle w:val="Heading1"/>
      </w:pPr>
      <w:r>
        <w:t>3. Node Intelligence Module</w:t>
      </w:r>
    </w:p>
    <w:p>
      <w:r>
        <w:t>The Node Intelligence Module is a replaceable service cartridge. It shall contain, as applicable, the battery, power management, processor, memory, wireless radio, security functions, measurement circuits, signal conditioning, self-test capability and firmware. Sensors that can reliably observe node-wide conditions, such as a central inertial sensor, may also be contained directly within the module.</w:t>
      </w:r>
    </w:p>
    <w:p>
      <w:r>
        <w:t>The module shall be removable without disturbing the primary structural connection. Its insertion shall engage a keyed sensing backplane that exposes the node-specific signal map, reserved channels and test functions. Future modules may provide improved electronics or communication technologies while preserving the node, its permanent identity and its physical sensing architecture.</w:t>
      </w:r>
    </w:p>
    <w:p>
      <w:pPr>
        <w:pStyle w:val="Heading1"/>
      </w:pPr>
      <w:r>
        <w:t>4. Node Design Requirements</w:t>
      </w:r>
    </w:p>
    <w:p>
      <w:pPr>
        <w:keepLines/>
        <w:spacing w:after="100"/>
      </w:pPr>
      <w:r>
        <w:rPr>
          <w:b/>
          <w:color w:val="1F4D78"/>
        </w:rPr>
        <w:t xml:space="preserve">AD-029.1 — Passive sensing manifold. </w:t>
      </w:r>
      <w:r>
        <w:t>The node shall route relevant observable states from ports and critical regions to the centralized module through durable passive paths wherever feasible.</w:t>
      </w:r>
    </w:p>
    <w:p>
      <w:pPr>
        <w:keepLines/>
        <w:spacing w:after="100"/>
      </w:pPr>
      <w:r>
        <w:rPr>
          <w:b/>
          <w:color w:val="1F4D78"/>
        </w:rPr>
        <w:t xml:space="preserve">AD-029.2 — Centralized active intelligence. </w:t>
      </w:r>
      <w:r>
        <w:t>Active electronics, battery, computation, memory and wireless communication shall be concentrated in the replaceable module unless a justified local transducer is technically unavoidable.</w:t>
      </w:r>
    </w:p>
    <w:p>
      <w:pPr>
        <w:keepLines/>
        <w:spacing w:after="100"/>
      </w:pPr>
      <w:r>
        <w:rPr>
          <w:b/>
          <w:color w:val="1F4D78"/>
        </w:rPr>
        <w:t xml:space="preserve">AD-029.3 — Intelligence readiness. </w:t>
      </w:r>
      <w:r>
        <w:t>A node family shall provide a standardized intelligence bay and sensing-backplane envelope so selected nodes can be instrumented now and additional nodes can be upgraded later.</w:t>
      </w:r>
    </w:p>
    <w:p>
      <w:pPr>
        <w:keepLines/>
        <w:spacing w:after="100"/>
      </w:pPr>
      <w:r>
        <w:rPr>
          <w:b/>
          <w:color w:val="1F4D78"/>
        </w:rPr>
        <w:t xml:space="preserve">AD-029.4 — Port-specific observability. </w:t>
      </w:r>
      <w:r>
        <w:t>Signals shall preserve their relationship to the applicable Node ID, Port ID, Cartridge ID and Engineering Link ID.</w:t>
      </w:r>
    </w:p>
    <w:p>
      <w:pPr>
        <w:keepLines/>
        <w:spacing w:after="100"/>
      </w:pPr>
      <w:r>
        <w:rPr>
          <w:b/>
          <w:color w:val="1F4D78"/>
        </w:rPr>
        <w:t xml:space="preserve">AD-029.5 — Serviceability. </w:t>
      </w:r>
      <w:r>
        <w:t>Battery, radio, processing electronics and measurement circuits shall be inspectable, replaceable and upgradeable without dismantling the primary structural connection.</w:t>
      </w:r>
    </w:p>
    <w:p>
      <w:pPr>
        <w:keepLines/>
        <w:spacing w:after="100"/>
      </w:pPr>
      <w:r>
        <w:rPr>
          <w:b/>
          <w:color w:val="1F4D78"/>
        </w:rPr>
        <w:t xml:space="preserve">AD-029.6 — Structural independence. </w:t>
      </w:r>
      <w:r>
        <w:t>Failure, removal or obsolescence of the intelligence module shall not reduce the required structural capacity or basic passive safety of the node.</w:t>
      </w:r>
    </w:p>
    <w:p>
      <w:pPr>
        <w:pStyle w:val="Heading1"/>
      </w:pPr>
      <w:r>
        <w:t>5. Diagnostic Integrity</w:t>
      </w:r>
    </w:p>
    <w:p>
      <w:r>
        <w:t>Passive signal paths shall be diagnosable. The design shall distinguish a legitimate unlocked or absent condition from a broken path, short circuit, disconnected module or failed sensing feature. Dual-stage presence and lock confirmation, end-of-line resistance, redundant witness features, reference channels or equivalent self-test methods shall be used where appropriate. No undiagnosed signal-path failure shall be interpreted as a confirmed safe state.</w:t>
      </w:r>
    </w:p>
    <w:p>
      <w:pPr>
        <w:pStyle w:val="Heading1"/>
      </w:pPr>
      <w:r>
        <w:t>6. Identity, Calibration and Replacement</w:t>
      </w:r>
    </w:p>
    <w:p>
      <w:r>
        <w:t>The permanent Node ID shall remain separate from the replaceable Module ID and from individual sensing element identifiers. Node-specific signal mapping, calibration coefficients, thresholds and service history shall be retained in the Building BIOS. After module replacement, the new module shall identify the node, retrieve its approved configuration, execute self-test and establish a new verified lifecycle association.</w:t>
      </w:r>
    </w:p>
    <w:p>
      <w:r>
        <w:t>Live observations and module health data shall be delivered to the Digital Twin. Only verified installation, calibration, replacement, repair or inspection events shall update the authoritative Building BIOS record, consistent with S05-AD-028.</w:t>
      </w:r>
    </w:p>
    <w:p>
      <w:pPr>
        <w:pStyle w:val="Heading1"/>
      </w:pPr>
      <w:r>
        <w:t>7. Initial Deployment Principle</w:t>
      </w:r>
    </w:p>
    <w:p>
      <w:r>
        <w:t>All System05 components shall possess digital identity. Node families should be intelligence-ready, while only a risk-informed subset of nodes need receive intelligence modules in an initial deployment. Selection shall seek maximum Engineering Link observability with the minimum practical number of instrumented nodes. Wireless reporting shall be event-driven and battery-conscious, with scheduled sampling and proof-of-life messages sufficient to distinguish stable conditions from a failed or unreachable module.</w:t>
      </w:r>
    </w:p>
    <w:p>
      <w:pPr>
        <w:pStyle w:val="Heading1"/>
      </w:pPr>
      <w:r>
        <w:t>8. Accepted Principle</w:t>
      </w:r>
    </w:p>
    <w:p>
      <w:pPr>
        <w:spacing w:after="0"/>
      </w:pPr>
      <w:r>
        <w:rPr>
          <w:b/>
          <w:i/>
          <w:color w:val="1F4D78"/>
        </w:rPr>
        <w:t>A durable node shall carry forces and conduct information; a replaceable module shall interpret that information.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F6B76"/>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5" w:color="D9E2F3"/>
      </w:pBdr>
    </w:pPr>
    <w:r>
      <w:rPr>
        <w:rFonts w:ascii="Calibri" w:hAnsi="Calibri"/>
        <w:b/>
        <w:color w:val="5F6B76"/>
        <w:sz w:val="17"/>
      </w:rPr>
      <w:t>SYSTEM05  |  ARCHITECTURE DECISION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4344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S05-AD-029 — Centralized Node Intelligence Module and Passive Sensing Manifold</dc:title>
  <dc:subject>Approved System05 architecture decision</dc:subject>
  <dc:creator>System05</dc:creator>
  <cp:keywords>System05, node, sensing, intelligence module, passive sensing manifold</cp:keywords>
  <dc:description>Approved v0.1 — 20 July 2026</dc:description>
  <cp:lastModifiedBy/>
  <cp:revision>1</cp:revision>
  <dcterms:created xsi:type="dcterms:W3CDTF">2013-12-23T23:15:00Z</dcterms:created>
  <dcterms:modified xsi:type="dcterms:W3CDTF">2013-12-23T23:15:00Z</dcterms:modified>
  <cp:category/>
</cp:coreProperties>
</file>